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Skarga na psa sąsiada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lokalu lub adres posesji właściciela psa: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Wnoszę o podjęcie czynności wobec właściciela psa, którego szczekanie zakłóca spoczynek nocny mieszkańców budynku. Zakłócanie spoczynku nocnego hałasem, którego właściciel zwierzęcia nie ogranicza, stanowi wykroczenie z art. 51 Kodeksu wykroczeń, dlatego wnoszę o przeprowadzenie interwencji w porze nocnej oraz o skierowanie wniosku o ukaranie do sądu.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51 i art. 77 Kodeksu wykroczeń, regulamin utrzymania czystości i porządku w gminie, ustawa o ochronie zwierząt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